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2010/206 vom 24. Juli 2012</w:t>
      </w:r>
    </w:p>
    <w:p>
      <w:r>
        <w:t>Sg Versicherungsgericht, 2012-07-24, DE</w:t>
      </w:r>
    </w:p>
    <w:p>
      <w:r>
        <w:rPr>
          <w:b/>
        </w:rPr>
        <w:t xml:space="preserve">Quelle: </w:t>
      </w:r>
      <w:r>
        <w:t>https://mcp.opencaselaw.ch/entscheid/sg_publikationen_IV 2010_206</w:t>
      </w:r>
    </w:p>
    <w:p>
      <w:r>
        <w:t>FR: SG_VERSICHERUNGSGERICHT IV 2010/206 du 24 juillet 2012</w:t>
      </w:r>
    </w:p>
    <w:p>
      <w:r>
        <w:t>IT: SG_VERSICHERUNGSGERICHT IV 2010/206 del 24 luglio 2012</w:t>
      </w:r>
    </w:p>
    <w:p>
      <w:pPr>
        <w:pStyle w:val="Heading2"/>
      </w:pPr>
      <w:r>
        <w:t>Regeste</w:t>
      </w:r>
    </w:p>
    <w:p>
      <w:r>
        <w:t>Art. 28 IVG. Rentenanspruch. Medizinischer Sachverhalt ungenügend abgeklärt. Rückweisung zur Vornahme eines polydisziplinären Gutachtens (Entscheid des Versicherungsgerichts des Kantons St. Gallen vom 24. Juli 2012, IV 2010/206).</w:t>
      </w:r>
    </w:p>
    <w:p>
      <w:pPr>
        <w:pStyle w:val="Heading2"/>
      </w:pPr>
      <w:r>
        <w:t>Erwägungen</w:t>
      </w:r>
    </w:p>
    <w:p>
      <w:r>
        <w:rPr>
          <w:b/>
        </w:rPr>
        <w:t>E. 1</w:t>
      </w:r>
    </w:p>
    <w:p>
      <w:r>
        <w:t>Umstritten ist der Rentenanspruch des Beschwerdeführers.</w:t>
      </w:r>
    </w:p>
    <w:p>
      <w:r>
        <w:rPr>
          <w:b/>
        </w:rPr>
        <w:t>E. 1.1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Es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15. April 2010 ergangen, wobei ein Sachverhalt zu beurteilen ist, der vor dem Inkrafttreten der revidierten Be­stimmungen der 5. IV-Revision am 1. Januar 2008 begonnen hat (IV-Anmeldung vom 6. Juni 2006, act. G 14.1).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ab 1. Januar 2008 gültigen Bestimmungen des ATSG und IVG wiedergegeben.</w:t>
      </w:r>
    </w:p>
    <w:p>
      <w:r>
        <w:rPr>
          <w:b/>
        </w:rPr>
        <w:t>E. 1.2</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1.3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Rechtsprechungsgemäss kommt einem Gutachten oder anderen medizinischen Beurteilungen schon dann kein voller Beweiswert zu, wenn Indizien gegen deren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2</w:t>
      </w:r>
    </w:p>
    <w:p>
      <w:r>
        <w:t>Vorab ist die Frage zu beantworten, ob die medizinische Aktenlage eine rechtsgenügliche Beurteilung der Restarbeitsfähigkeit des Beschwerdeführers erlaubt. Die Beschwerdegegnerin stützte sich in der angefochtenen Verfügung auf die gutachterliche Einschätzung der AEH und von Dr. C.___, wonach der Beschwerdeführer für leidens­angepasste Tätigkeiten über eine 100%ige Arbeitsfähigkeit verfüge (Gesamtgutachten vom 28. April 2008, act. G 14.39-7). Der Beschwerdeführer hält diese medizinische Grundlage aus verschiedenen Gründen für nicht beweiskräftig (act. G 11 und G 24).</w:t>
      </w:r>
    </w:p>
    <w:p>
      <w:r>
        <w:rPr>
          <w:b/>
        </w:rPr>
        <w:t>E. 2.1</w:t>
      </w:r>
    </w:p>
    <w:p>
      <w:r>
        <w:t>Zunächst ist die Beweiskraft des somatischen Teilgutachtens der AEH zu be­urteilen. Bei der Durchsicht ergibt sich, dass dieses Teilgutachten unvollständig ist und nicht auf umfassenden Abklärungen beruht. So erkannte die AEH-Gutachterin, dass be­züglich der nicht zuverlässig zuordbaren rechten Oberschenkelschmerzen "sicher eine radiologische Abklärung" zum Ausschluss einer Hüftarthrose angezeigt sei. Aber auch die linksseitigen Oberschenkelschmerzen bedürften wohl einer Kontrolle. Die (radio­logische) Hüftbeurteilung sei auch deshalb indiziert, als die geklagten Knieschmerzen möglicherweise Ausdruck der Hüftbeschwerden seien. Die Kniebeschwerden selbst wurden lediglich klinisch untersucht. Die AEH-Gutachterin erkannte damit selbst einen erheblichen weiteren Abklärungsbedarf. Sie beschränkte sich dennoch auf die Fest­stellung: "Angesichts dessen, dass der Versicherte bisher keine eingehende rheuma­tologisch-orthopädische Abklärung inkl. radiologischer Bildgebung erhielt, können wir derzeit nur eine funktionelle Momentaufnahme machen" (vgl. zum Ganzen act. G 14.39-5). Allein schon aus diesem Grund vermag die somatische AEH-Begutachtung die An­forderungen an beweiskräftige Gutachten nicht zu erfüllen. Dies umso weniger, als im AEH-Gutachten auch kardiovaskuläre Abklärungen als erforderlich erachtet wurden ("sicher angezeigt", act. G 14.39-5) und der kardiovaskulären Problematik "eine wesent­liche Mitprägung der Arbeitsfähigkeit" zugeschrieben wurde (act. G 14.39-7). Die Zweifel an der somatischen Begutachtung werden dadurch bestätigt, als die AEH-Gutachterin selbst eingesteht, dass ohne nochmalige kardiovaskuläre Abklärung und ohne eine rheumatologisch-orthopädische Abklärung keine verantwortbar abschliessende Be­urteilung der Arbeitsfähigkeit und Zumutbarkeit der Arbeitsleistung erfolgen könne (act. G 14.39-5 unten). Daran ändert nichts, dass in kardiovaskulärer Hinsicht ein fachmedizinischer Bericht von der Beschwerdegegnerin einverlangt wurde. Denn die kardiologische Beurteilung von Dr. D.___ vom 10. April 2008 enthält keine Ein­schätzung hinsichtlich der massgebenden Frage nach der qualitativen und quantitativen Arbeitsfähigkeit (act. G 14.46). Darüber hinaus wurde sie der AEH-Gutachterin nach­träglich nicht zur Kenntnis gebracht. Auch die durchgeführte EFL vermag den Ab­klärungsmangel nicht zu beheben, beruht sie doch nicht auf einer medizinisch hinreichend abgeklärten Grundlage.</w:t>
      </w:r>
    </w:p>
    <w:p>
      <w:r>
        <w:rPr>
          <w:b/>
        </w:rPr>
        <w:t>E. 2.2</w:t>
      </w:r>
    </w:p>
    <w:p>
      <w:r>
        <w:t>Gegen das psychiatrische Teilgutachten bringt der Beschwerdeführer vorweg vor, Dr. C.___ hätte wegen Vorbefassung nicht als Gutachter amten dürfen, da dieser zur Zeit, als sich der Beschwerdeführer in der Klinik Gais (vom 5. April bis 2. Mai 2006) zur Rehabilitation befunden habe, deren Chefarzt für psychosomatische Rehabilitation ge­wesen sei (act. G 11). Es erscheint fraglich, ob Dr. C.___ als befangen angesehen muss. Denn vorliegend ist entscheidend, dass sich der Beschwerdeführer zur kardio­logischen Rehabilitation in der Klinik Gais befand. Der Bericht vom 9. Mai 2006 ist aus­schliesslich von Angehörigen der kardiologischen Abteilung unterzeichnet worden (act. G 11/Beilage 8). Diese Abteilung verfügt über einen eigenen Chefarzt (vgl. die Website der Klinik, http://www.klinik-gais.ch/team/, abgerufen am 22. Mai 2012). Es ergeben sich keine Anhaltspunkte dafür, dass die psychosomatische Abteilung, geschweige denn Dr. C.___, an der damaligen Rehabilitation beteiligt gewesen war. Letztlich kann die Frage der Befangenheit indessen offen gelassen werden, da die psychiatrische Teil­begutachtung (act. G 4.37) aus anderen Gründen nicht überzeugt. Zunächst vermag sich die psychiatrische Einschätzung von Dr. C.___ nicht auf eine somatisch hin­reichend abgeklärte medizinische Aktenlage zu stützen. Hinzu kommt, dass die Aus­einandersetzung mit den relevanten medizinischen Vorakten (Bericht des Psychi­atrischen Zentrums Rorschach vom 27. Februar 2007, act. G 14.21-1 ff.) und der teil­weise sehr traumatischen Biographie des Beschwerdeführers (vgl. zur während Monaten erlittenen Folter act. G 14.37-6 und G 14.21-2) rudimentär ausfiel. Ferner ergeben sich aus der seit der psychiatrischen Teilbegutachtung ergangenen Aktenlage Hinweise für eine Einschränkung der Arbeitsfähigkeit (zur eingeschränkten psychischen Belastbarkeit vgl. das Protokoll der Koordinationskonferenz vom 11. Januar 2010, act.  G 14.93; vgl. ferner auch den testpsychologischen Abklärungsbericht vom 21. Oktober 2009, act. G 14.82).</w:t>
      </w:r>
    </w:p>
    <w:p>
      <w:r>
        <w:rPr>
          <w:b/>
        </w:rPr>
        <w:t>E. 2.3</w:t>
      </w:r>
    </w:p>
    <w:p>
      <w:r>
        <w:t>Zusammenfassend ist mit dem Beschwerdeführer (act. G 11, S. 6) festzustellen, dass die gutachterliche Beurteilung der Arbeitsfähigkeit nicht beweiskräftig ist. Der Sachverhalt erweist sich damit in medizinischer Hinsicht als nicht genügend abgeklärt. Da es vorliegend bislang an einer fachkardiologischen Beurteilung der Arbeitsfähigkeit fehlt, mithin diese Frage bislang vollständig ungeklärt geblieben ist, rechtfertigt es sich, die Sache zur Vornahme einer polydisziplinären Begutachtung (internistisch, kardio­logisch, rheumatologisch-orthopädisch und psychiatrisch) an die Beschwerdegegnerin zurückzuweisen (vgl. BGE 137 V 264 E. 4.4.1.4). Bei der Wahl der Gutachtensstelle wird die Beschwerdegegnerin die Anforderungen gemäss BGE 137 V 210, namentlich das Bestreben nach einer einvernehmlichen Bestimmung (vgl. hierzu auch Urteil des Bundesgerichts vom 9. Mai 2012, 9C_950/2011, E. 1.1 und 3.4), zu beachten haben. Um dem Anliegen der bundesgerichtlichen Vorgaben gerecht zu werden, erscheint es sinnvoll, wenn die Beschwerdegegnerin dem Beschwerdeführer eine (kleine) Auswahl von möglichen Gutachterstellen unterbreitet.</w:t>
      </w:r>
    </w:p>
    <w:p>
      <w:r>
        <w:rPr>
          <w:b/>
        </w:rPr>
        <w:t>E. 3.1</w:t>
      </w:r>
    </w:p>
    <w:p>
      <w:r>
        <w:t>In teilweiser Gutheissung der Beschwerde ist die angefochtene Verfügung vom 15. April 2010 aufzuheben. Die Sache ist zur medizinischen Abklärung und zu neuer Verfügung im Sinn der Erwägungen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w:t>
      </w:r>
    </w:p>
    <w:p>
      <w:r>
        <w:rPr>
          <w:b/>
        </w:rPr>
        <w:t>E. 3.3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Mit der Zusprache einer Parteientschädigung von pauschal Fr. 3'500.-- erübrigt sich die Frage einer Entschädigung aus unentgeltlicher Rechtsverbeiständung. Demgemäss hat das Versicherungsgericht im Zirkulationsverfahren gemäss Art. 39 VRP entschieden: 1.       In teilweiser Gutheissung der Beschwerde wird die Verfügung vom 15. April 2010 aufgehoben und die Sache wird zur medizinischen Abklärung und zu neuer Verfügung im Sinn der Erwägungen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